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6CC" w:rsidRDefault="00B956CC" w:rsidP="00B956CC">
      <w:pPr>
        <w:widowControl w:val="0"/>
        <w:autoSpaceDE w:val="0"/>
        <w:autoSpaceDN w:val="0"/>
        <w:adjustRightInd w:val="0"/>
        <w:rPr>
          <w:rFonts w:ascii="Verdana" w:hAnsi="Verdana" w:cs="Verdana"/>
          <w:i/>
          <w:iCs/>
          <w:color w:val="343434"/>
          <w:sz w:val="48"/>
          <w:szCs w:val="48"/>
        </w:rPr>
      </w:pPr>
      <w:bookmarkStart w:id="0" w:name="_GoBack"/>
      <w:bookmarkEnd w:id="0"/>
      <w:r>
        <w:rPr>
          <w:rFonts w:ascii="Verdana" w:hAnsi="Verdana" w:cs="Verdana"/>
          <w:i/>
          <w:iCs/>
          <w:color w:val="343434"/>
          <w:sz w:val="48"/>
          <w:szCs w:val="48"/>
        </w:rPr>
        <w:t>How to Plan Content Standards</w:t>
      </w:r>
    </w:p>
    <w:p w:rsidR="00B956CC" w:rsidRDefault="00B956CC" w:rsidP="00B956CC">
      <w:pPr>
        <w:widowControl w:val="0"/>
        <w:autoSpaceDE w:val="0"/>
        <w:autoSpaceDN w:val="0"/>
        <w:adjustRightInd w:val="0"/>
        <w:rPr>
          <w:rFonts w:ascii="Verdana" w:hAnsi="Verdana" w:cs="Verdana"/>
          <w:color w:val="000000"/>
          <w:sz w:val="20"/>
          <w:szCs w:val="20"/>
        </w:rPr>
      </w:pPr>
    </w:p>
    <w:p w:rsidR="00B956CC" w:rsidRDefault="00B956CC" w:rsidP="00B956CC">
      <w:pPr>
        <w:widowControl w:val="0"/>
        <w:autoSpaceDE w:val="0"/>
        <w:autoSpaceDN w:val="0"/>
        <w:adjustRightInd w:val="0"/>
        <w:rPr>
          <w:rFonts w:ascii="Verdana" w:hAnsi="Verdana" w:cs="Verdana"/>
          <w:color w:val="000000"/>
          <w:sz w:val="32"/>
          <w:szCs w:val="32"/>
        </w:rPr>
      </w:pPr>
      <w:r>
        <w:rPr>
          <w:rFonts w:ascii="Verdana" w:hAnsi="Verdana" w:cs="Verdana"/>
          <w:color w:val="000000"/>
          <w:sz w:val="32"/>
          <w:szCs w:val="32"/>
        </w:rPr>
        <w:t>Common Core + NHD</w:t>
      </w:r>
    </w:p>
    <w:p w:rsidR="00B956CC" w:rsidRDefault="00B956CC" w:rsidP="00B956CC">
      <w:pPr>
        <w:widowControl w:val="0"/>
        <w:autoSpaceDE w:val="0"/>
        <w:autoSpaceDN w:val="0"/>
        <w:adjustRightInd w:val="0"/>
        <w:rPr>
          <w:rFonts w:ascii="Verdana" w:hAnsi="Verdana" w:cs="Verdana"/>
          <w:color w:val="000000"/>
          <w:sz w:val="32"/>
          <w:szCs w:val="32"/>
        </w:rPr>
      </w:pPr>
    </w:p>
    <w:p w:rsidR="00B956CC" w:rsidRDefault="00B956CC" w:rsidP="00B956CC">
      <w:pPr>
        <w:widowControl w:val="0"/>
        <w:autoSpaceDE w:val="0"/>
        <w:autoSpaceDN w:val="0"/>
        <w:adjustRightInd w:val="0"/>
        <w:rPr>
          <w:rFonts w:ascii="Verdana" w:hAnsi="Verdana" w:cs="Verdana"/>
          <w:color w:val="303030"/>
        </w:rPr>
      </w:pPr>
      <w:r>
        <w:rPr>
          <w:rFonts w:ascii="Verdana" w:hAnsi="Verdana" w:cs="Verdana"/>
          <w:color w:val="303030"/>
        </w:rPr>
        <w:t>National History Day (NHD) correlates to the Common Core State Standards for Literacy in History/Social Studies, Science, and the Technical Subjects (CCSS for Literacy in All Subjects in Wisconsin).</w:t>
      </w:r>
    </w:p>
    <w:p w:rsidR="00B956CC" w:rsidRDefault="00B956CC" w:rsidP="00B956CC">
      <w:pPr>
        <w:widowControl w:val="0"/>
        <w:autoSpaceDE w:val="0"/>
        <w:autoSpaceDN w:val="0"/>
        <w:adjustRightInd w:val="0"/>
        <w:rPr>
          <w:rFonts w:ascii="Verdana" w:hAnsi="Verdana" w:cs="Verdana"/>
          <w:color w:val="303030"/>
        </w:rPr>
      </w:pPr>
    </w:p>
    <w:p w:rsidR="00B956CC" w:rsidRDefault="00B956CC" w:rsidP="00B956CC">
      <w:pPr>
        <w:widowControl w:val="0"/>
        <w:autoSpaceDE w:val="0"/>
        <w:autoSpaceDN w:val="0"/>
        <w:adjustRightInd w:val="0"/>
        <w:rPr>
          <w:rFonts w:ascii="Verdana" w:hAnsi="Verdana" w:cs="Verdana"/>
          <w:color w:val="303030"/>
        </w:rPr>
      </w:pPr>
      <w:r>
        <w:rPr>
          <w:rFonts w:ascii="Verdana" w:hAnsi="Verdana" w:cs="Verdana"/>
          <w:color w:val="303030"/>
        </w:rPr>
        <w:t>Here are just a few examples of connections to CCSS.</w:t>
      </w:r>
    </w:p>
    <w:p w:rsidR="00B956CC" w:rsidRDefault="00B956CC" w:rsidP="00B956CC">
      <w:pPr>
        <w:widowControl w:val="0"/>
        <w:autoSpaceDE w:val="0"/>
        <w:autoSpaceDN w:val="0"/>
        <w:adjustRightInd w:val="0"/>
        <w:spacing w:after="80"/>
        <w:rPr>
          <w:rFonts w:ascii="Verdana" w:hAnsi="Verdana" w:cs="Verdana"/>
          <w:color w:val="000000"/>
          <w:sz w:val="32"/>
          <w:szCs w:val="32"/>
        </w:rPr>
      </w:pPr>
    </w:p>
    <w:p w:rsidR="00B956CC" w:rsidRDefault="00B956CC" w:rsidP="00B956CC">
      <w:pPr>
        <w:widowControl w:val="0"/>
        <w:autoSpaceDE w:val="0"/>
        <w:autoSpaceDN w:val="0"/>
        <w:adjustRightInd w:val="0"/>
        <w:spacing w:after="180" w:line="288" w:lineRule="auto"/>
        <w:rPr>
          <w:rFonts w:ascii="Verdana" w:hAnsi="Verdana" w:cs="Verdana"/>
          <w:color w:val="000000"/>
        </w:rPr>
      </w:pPr>
      <w:r>
        <w:rPr>
          <w:rFonts w:ascii="Verdana" w:hAnsi="Verdana" w:cs="Verdana"/>
          <w:b/>
          <w:bCs/>
          <w:color w:val="000000"/>
        </w:rPr>
        <w:t xml:space="preserve">CCSS Standard: </w:t>
      </w:r>
      <w:r>
        <w:rPr>
          <w:rFonts w:ascii="Verdana" w:hAnsi="Verdana" w:cs="Verdana"/>
          <w:color w:val="000000"/>
        </w:rPr>
        <w:t>Reading/History (RH) 1</w:t>
      </w:r>
      <w:r>
        <w:rPr>
          <w:rFonts w:ascii="Verdana" w:hAnsi="Verdana" w:cs="Verdana"/>
          <w:b/>
          <w:bCs/>
          <w:color w:val="000000"/>
        </w:rPr>
        <w:t xml:space="preserve"> Anchor Standard: </w:t>
      </w:r>
      <w:r>
        <w:rPr>
          <w:rFonts w:ascii="Verdana" w:hAnsi="Verdana" w:cs="Verdana"/>
          <w:color w:val="000000"/>
        </w:rPr>
        <w:t>Explicit/implicit meanings</w:t>
      </w:r>
      <w:r>
        <w:rPr>
          <w:rFonts w:ascii="Verdana" w:hAnsi="Verdana" w:cs="Verdana"/>
          <w:b/>
          <w:bCs/>
          <w:color w:val="000000"/>
        </w:rPr>
        <w:t xml:space="preserve"> Grade Level: </w:t>
      </w:r>
      <w:r>
        <w:rPr>
          <w:rFonts w:ascii="Verdana" w:hAnsi="Verdana" w:cs="Verdana"/>
          <w:color w:val="000000"/>
        </w:rPr>
        <w:t>6-8</w:t>
      </w:r>
      <w:r>
        <w:rPr>
          <w:rFonts w:ascii="Verdana" w:hAnsi="Verdana" w:cs="Verdana"/>
          <w:b/>
          <w:bCs/>
          <w:color w:val="000000"/>
        </w:rPr>
        <w:t> </w:t>
      </w:r>
      <w:r>
        <w:rPr>
          <w:rFonts w:ascii="Verdana" w:hAnsi="Verdana" w:cs="Verdana"/>
          <w:color w:val="000000"/>
        </w:rPr>
        <w:t>Cite specific textual evidence to support analysis of primary and secondary sources. </w:t>
      </w:r>
      <w:r>
        <w:rPr>
          <w:rFonts w:ascii="Verdana" w:hAnsi="Verdana" w:cs="Verdana"/>
          <w:b/>
          <w:bCs/>
          <w:color w:val="000000"/>
        </w:rPr>
        <w:t>Connection to NHD: </w:t>
      </w:r>
      <w:r>
        <w:rPr>
          <w:rFonts w:ascii="Verdana" w:hAnsi="Verdana" w:cs="Verdana"/>
          <w:color w:val="000000"/>
        </w:rPr>
        <w:t>Students must use multiple resources, including both primary and secondary historical sources, and conduct extensive analysis for applicability to their research question and thesis.</w:t>
      </w:r>
    </w:p>
    <w:p w:rsidR="00B956CC" w:rsidRDefault="00B956CC" w:rsidP="00B956CC">
      <w:pPr>
        <w:widowControl w:val="0"/>
        <w:autoSpaceDE w:val="0"/>
        <w:autoSpaceDN w:val="0"/>
        <w:adjustRightInd w:val="0"/>
        <w:spacing w:after="180" w:line="288" w:lineRule="auto"/>
        <w:rPr>
          <w:rFonts w:ascii="Verdana" w:hAnsi="Verdana" w:cs="Verdana"/>
          <w:color w:val="000000"/>
        </w:rPr>
      </w:pPr>
      <w:r>
        <w:rPr>
          <w:rFonts w:ascii="Verdana" w:hAnsi="Verdana" w:cs="Verdana"/>
          <w:b/>
          <w:bCs/>
          <w:color w:val="000000"/>
        </w:rPr>
        <w:t xml:space="preserve">CCSS Standard: </w:t>
      </w:r>
      <w:r>
        <w:rPr>
          <w:rFonts w:ascii="Verdana" w:hAnsi="Verdana" w:cs="Verdana"/>
          <w:color w:val="000000"/>
        </w:rPr>
        <w:t>Speaking and Learning (SL) 2 </w:t>
      </w:r>
      <w:r>
        <w:rPr>
          <w:rFonts w:ascii="Verdana" w:hAnsi="Verdana" w:cs="Verdana"/>
          <w:b/>
          <w:bCs/>
          <w:color w:val="000000"/>
        </w:rPr>
        <w:t xml:space="preserve">Anchor Standard: </w:t>
      </w:r>
      <w:r>
        <w:rPr>
          <w:rFonts w:ascii="Verdana" w:hAnsi="Verdana" w:cs="Verdana"/>
          <w:color w:val="000000"/>
        </w:rPr>
        <w:t>Information Analysis </w:t>
      </w:r>
      <w:r>
        <w:rPr>
          <w:rFonts w:ascii="Verdana" w:hAnsi="Verdana" w:cs="Verdana"/>
          <w:b/>
          <w:bCs/>
          <w:color w:val="000000"/>
        </w:rPr>
        <w:t xml:space="preserve">Grade Level: </w:t>
      </w:r>
      <w:r>
        <w:rPr>
          <w:rFonts w:ascii="Verdana" w:hAnsi="Verdana" w:cs="Verdana"/>
          <w:color w:val="000000"/>
        </w:rPr>
        <w:t>9-10 Integrate multiple sources of information presented in diverse media or formats (e.g., visually, quantitatively, orally) evaluating the credibility and accuracy of each source. </w:t>
      </w:r>
      <w:r>
        <w:rPr>
          <w:rFonts w:ascii="Verdana" w:hAnsi="Verdana" w:cs="Verdana"/>
          <w:b/>
          <w:bCs/>
          <w:color w:val="000000"/>
        </w:rPr>
        <w:t>Connection to NHD: </w:t>
      </w:r>
      <w:r>
        <w:rPr>
          <w:rFonts w:ascii="Verdana" w:hAnsi="Verdana" w:cs="Verdana"/>
          <w:color w:val="000000"/>
        </w:rPr>
        <w:t>Students choosing presentation types such as exhibits, websites, performances, and documentaries must choose the format and media that best proves their thesis. % All students go through an oral interview with NHD judges at all levels of competition where they must defend their thesis using evidence from research.</w:t>
      </w:r>
    </w:p>
    <w:p w:rsidR="00B956CC" w:rsidRDefault="00B956CC" w:rsidP="00B956CC">
      <w:pPr>
        <w:widowControl w:val="0"/>
        <w:autoSpaceDE w:val="0"/>
        <w:autoSpaceDN w:val="0"/>
        <w:adjustRightInd w:val="0"/>
        <w:spacing w:after="180" w:line="288" w:lineRule="auto"/>
        <w:rPr>
          <w:rFonts w:ascii="Verdana" w:hAnsi="Verdana" w:cs="Verdana"/>
          <w:color w:val="000000"/>
        </w:rPr>
      </w:pPr>
    </w:p>
    <w:p w:rsidR="00B956CC" w:rsidRDefault="00B956CC" w:rsidP="00B956CC">
      <w:pPr>
        <w:widowControl w:val="0"/>
        <w:autoSpaceDE w:val="0"/>
        <w:autoSpaceDN w:val="0"/>
        <w:adjustRightInd w:val="0"/>
        <w:spacing w:after="180" w:line="288" w:lineRule="auto"/>
        <w:rPr>
          <w:rFonts w:ascii="Verdana" w:hAnsi="Verdana" w:cs="Verdana"/>
          <w:color w:val="1291D1"/>
          <w:sz w:val="22"/>
          <w:szCs w:val="22"/>
        </w:rPr>
      </w:pPr>
      <w:r>
        <w:rPr>
          <w:rFonts w:ascii="Verdana" w:hAnsi="Verdana" w:cs="Verdana"/>
          <w:color w:val="1291D1"/>
          <w:sz w:val="22"/>
          <w:szCs w:val="22"/>
        </w:rPr>
        <w:t xml:space="preserve">A full PDF version of “National History Day and the Common Core State Standards: Connections and Correlations” is available at </w:t>
      </w:r>
      <w:hyperlink r:id="rId4" w:history="1">
        <w:r>
          <w:rPr>
            <w:rFonts w:ascii="Verdana" w:hAnsi="Verdana" w:cs="Verdana"/>
            <w:color w:val="1291D1"/>
            <w:sz w:val="22"/>
            <w:szCs w:val="22"/>
            <w:u w:val="single" w:color="1291D1"/>
          </w:rPr>
          <w:t>NHD.org</w:t>
        </w:r>
      </w:hyperlink>
    </w:p>
    <w:p w:rsidR="00B956CC" w:rsidRDefault="00B956CC" w:rsidP="00B956CC">
      <w:pPr>
        <w:widowControl w:val="0"/>
        <w:autoSpaceDE w:val="0"/>
        <w:autoSpaceDN w:val="0"/>
        <w:adjustRightInd w:val="0"/>
        <w:spacing w:after="180" w:line="288" w:lineRule="auto"/>
        <w:rPr>
          <w:rFonts w:ascii="Verdana" w:hAnsi="Verdana" w:cs="Verdana"/>
          <w:color w:val="1291D1"/>
          <w:sz w:val="22"/>
          <w:szCs w:val="22"/>
        </w:rPr>
      </w:pPr>
    </w:p>
    <w:p w:rsidR="00B956CC" w:rsidRDefault="00B956CC" w:rsidP="00B956CC">
      <w:pPr>
        <w:widowControl w:val="0"/>
        <w:autoSpaceDE w:val="0"/>
        <w:autoSpaceDN w:val="0"/>
        <w:adjustRightInd w:val="0"/>
        <w:rPr>
          <w:rFonts w:ascii="Verdana" w:hAnsi="Verdana" w:cs="Verdana"/>
          <w:color w:val="000000"/>
          <w:sz w:val="32"/>
          <w:szCs w:val="32"/>
        </w:rPr>
      </w:pPr>
    </w:p>
    <w:p w:rsidR="00B956CC" w:rsidRDefault="00B956CC" w:rsidP="00B956CC">
      <w:pPr>
        <w:widowControl w:val="0"/>
        <w:autoSpaceDE w:val="0"/>
        <w:autoSpaceDN w:val="0"/>
        <w:adjustRightInd w:val="0"/>
        <w:rPr>
          <w:rFonts w:ascii="Verdana" w:hAnsi="Verdana" w:cs="Verdana"/>
          <w:color w:val="000000"/>
          <w:sz w:val="32"/>
          <w:szCs w:val="32"/>
        </w:rPr>
      </w:pPr>
    </w:p>
    <w:p w:rsidR="00B956CC" w:rsidRDefault="00B956CC" w:rsidP="00B956CC">
      <w:pPr>
        <w:widowControl w:val="0"/>
        <w:autoSpaceDE w:val="0"/>
        <w:autoSpaceDN w:val="0"/>
        <w:adjustRightInd w:val="0"/>
        <w:rPr>
          <w:rFonts w:ascii="Verdana" w:hAnsi="Verdana" w:cs="Verdana"/>
          <w:color w:val="000000"/>
          <w:sz w:val="32"/>
          <w:szCs w:val="32"/>
        </w:rPr>
      </w:pPr>
    </w:p>
    <w:p w:rsidR="00B956CC" w:rsidRDefault="00B956CC" w:rsidP="00B956CC">
      <w:pPr>
        <w:widowControl w:val="0"/>
        <w:autoSpaceDE w:val="0"/>
        <w:autoSpaceDN w:val="0"/>
        <w:adjustRightInd w:val="0"/>
        <w:rPr>
          <w:rFonts w:ascii="Verdana" w:hAnsi="Verdana" w:cs="Verdana"/>
          <w:color w:val="000000"/>
          <w:sz w:val="32"/>
          <w:szCs w:val="32"/>
        </w:rPr>
      </w:pPr>
      <w:r>
        <w:rPr>
          <w:rFonts w:ascii="Verdana" w:hAnsi="Verdana" w:cs="Verdana"/>
          <w:color w:val="000000"/>
          <w:sz w:val="32"/>
          <w:szCs w:val="32"/>
        </w:rPr>
        <w:lastRenderedPageBreak/>
        <w:t>Scope &amp; Sequence</w:t>
      </w:r>
    </w:p>
    <w:p w:rsidR="00B956CC" w:rsidRDefault="00B956CC" w:rsidP="00B956CC">
      <w:pPr>
        <w:widowControl w:val="0"/>
        <w:autoSpaceDE w:val="0"/>
        <w:autoSpaceDN w:val="0"/>
        <w:adjustRightInd w:val="0"/>
        <w:spacing w:after="80"/>
        <w:rPr>
          <w:rFonts w:ascii="Verdana" w:hAnsi="Verdana" w:cs="Verdana"/>
          <w:color w:val="000000"/>
          <w:sz w:val="32"/>
          <w:szCs w:val="32"/>
        </w:rPr>
      </w:pPr>
    </w:p>
    <w:p w:rsidR="00B956CC" w:rsidRDefault="00B956CC" w:rsidP="00B956CC">
      <w:pPr>
        <w:widowControl w:val="0"/>
        <w:autoSpaceDE w:val="0"/>
        <w:autoSpaceDN w:val="0"/>
        <w:adjustRightInd w:val="0"/>
        <w:spacing w:after="180" w:line="288" w:lineRule="auto"/>
        <w:rPr>
          <w:rFonts w:ascii="Verdana" w:hAnsi="Verdana" w:cs="Verdana"/>
          <w:color w:val="000000"/>
        </w:rPr>
      </w:pPr>
      <w:r>
        <w:rPr>
          <w:rFonts w:ascii="Verdana" w:hAnsi="Verdana" w:cs="Verdana"/>
          <w:color w:val="000000"/>
        </w:rPr>
        <w:t>The topics students cover through their NHD projects can both align with and expand your district’s grade specific scope and sequence. Having students choose topics (even from Units that haven’t been taught yet) allows students to become experts in a chosen field and share their knowledge with their classes and community in a meaningful way. Teachers have the ability to choose what area of history they want student projects to be derived from – for example, if your district curriculum has you teach Idaho History in 4</w:t>
      </w:r>
      <w:r>
        <w:rPr>
          <w:rFonts w:ascii="Verdana" w:hAnsi="Verdana" w:cs="Verdana"/>
          <w:color w:val="000000"/>
          <w:sz w:val="16"/>
          <w:szCs w:val="16"/>
          <w:vertAlign w:val="superscript"/>
        </w:rPr>
        <w:t>th</w:t>
      </w:r>
      <w:r>
        <w:rPr>
          <w:rFonts w:ascii="Verdana" w:hAnsi="Verdana" w:cs="Verdana"/>
          <w:color w:val="000000"/>
        </w:rPr>
        <w:t xml:space="preserve"> grade, you may ask that all students choose from Idaho specific topics, both bolstering their learning and helping them find passion in their current studies.</w:t>
      </w:r>
    </w:p>
    <w:p w:rsidR="00B956CC" w:rsidRDefault="00B956CC" w:rsidP="00B956CC">
      <w:pPr>
        <w:widowControl w:val="0"/>
        <w:autoSpaceDE w:val="0"/>
        <w:autoSpaceDN w:val="0"/>
        <w:adjustRightInd w:val="0"/>
        <w:rPr>
          <w:rFonts w:ascii="Verdana" w:hAnsi="Verdana" w:cs="Verdana"/>
          <w:color w:val="000000"/>
          <w:sz w:val="32"/>
          <w:szCs w:val="32"/>
        </w:rPr>
      </w:pPr>
    </w:p>
    <w:p w:rsidR="00B956CC" w:rsidRDefault="00B956CC" w:rsidP="00B956CC">
      <w:pPr>
        <w:widowControl w:val="0"/>
        <w:autoSpaceDE w:val="0"/>
        <w:autoSpaceDN w:val="0"/>
        <w:adjustRightInd w:val="0"/>
        <w:rPr>
          <w:rFonts w:ascii="Verdana" w:hAnsi="Verdana" w:cs="Verdana"/>
          <w:color w:val="000000"/>
          <w:sz w:val="32"/>
          <w:szCs w:val="32"/>
        </w:rPr>
      </w:pPr>
      <w:r>
        <w:rPr>
          <w:rFonts w:ascii="Verdana" w:hAnsi="Verdana" w:cs="Verdana"/>
          <w:color w:val="000000"/>
          <w:sz w:val="32"/>
          <w:szCs w:val="32"/>
        </w:rPr>
        <w:t>Differentiation</w:t>
      </w:r>
    </w:p>
    <w:p w:rsidR="00B956CC" w:rsidRDefault="00B956CC" w:rsidP="00B956CC">
      <w:pPr>
        <w:widowControl w:val="0"/>
        <w:autoSpaceDE w:val="0"/>
        <w:autoSpaceDN w:val="0"/>
        <w:adjustRightInd w:val="0"/>
        <w:spacing w:after="80"/>
        <w:rPr>
          <w:rFonts w:ascii="Verdana" w:hAnsi="Verdana" w:cs="Verdana"/>
          <w:color w:val="000000"/>
          <w:sz w:val="20"/>
          <w:szCs w:val="20"/>
        </w:rPr>
      </w:pPr>
    </w:p>
    <w:p w:rsidR="00B956CC" w:rsidRDefault="00B956CC" w:rsidP="00B956CC">
      <w:pPr>
        <w:widowControl w:val="0"/>
        <w:autoSpaceDE w:val="0"/>
        <w:autoSpaceDN w:val="0"/>
        <w:adjustRightInd w:val="0"/>
        <w:spacing w:after="180" w:line="288" w:lineRule="auto"/>
        <w:rPr>
          <w:rFonts w:ascii="Verdana" w:hAnsi="Verdana" w:cs="Verdana"/>
          <w:color w:val="000000"/>
        </w:rPr>
      </w:pPr>
      <w:r>
        <w:rPr>
          <w:rFonts w:ascii="Verdana" w:hAnsi="Verdana" w:cs="Verdana"/>
          <w:color w:val="000000"/>
        </w:rPr>
        <w:t xml:space="preserve">National History Day offers teachers unique opportunities to meet the needs of a diverse classroom. Because of its focus on inquiry based learning, students develop questions and plan inquires and teachers serve as guides through the learning process. Teachers can help students frame a question that is meaningful and appropriate to the needs of the individual student. By curating a research process that fits the needs and abilities of </w:t>
      </w:r>
      <w:r>
        <w:rPr>
          <w:rFonts w:ascii="Verdana" w:hAnsi="Verdana" w:cs="Verdana"/>
          <w:i/>
          <w:iCs/>
          <w:color w:val="000000"/>
        </w:rPr>
        <w:t>your</w:t>
      </w:r>
      <w:r>
        <w:rPr>
          <w:rFonts w:ascii="Verdana" w:hAnsi="Verdana" w:cs="Verdana"/>
          <w:color w:val="000000"/>
        </w:rPr>
        <w:t xml:space="preserve"> classroom, all students can have the opportunity to learn at their highest potential and create remarkable products showcasing their knowledge while providing a long term record of measurable academic growth. Whether you are teaching a Gifted and Talented class, English as a Second Language class, or a classroom of mixed abilities, you can customize the program to fit your needs.  Contact the NHD in Idaho coordinator for NHD materials customizes to ESL/ESOL learners and students with learning challenges.</w:t>
      </w:r>
    </w:p>
    <w:p w:rsidR="008A7D96" w:rsidRDefault="008A7D96"/>
    <w:sectPr w:rsidR="008A7D96" w:rsidSect="004256E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6CC"/>
    <w:rsid w:val="002957B6"/>
    <w:rsid w:val="008A7D96"/>
    <w:rsid w:val="00B956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377819F3-6593-4FE7-9B58-8369BFAAA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H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433</Words>
  <Characters>2715</Characters>
  <Application>Microsoft Office Word</Application>
  <DocSecurity>4</DocSecurity>
  <Lines>181</Lines>
  <Paragraphs>116</Paragraphs>
  <ScaleCrop>false</ScaleCrop>
  <HeadingPairs>
    <vt:vector size="2" baseType="variant">
      <vt:variant>
        <vt:lpstr>Title</vt:lpstr>
      </vt:variant>
      <vt:variant>
        <vt:i4>1</vt:i4>
      </vt:variant>
    </vt:vector>
  </HeadingPairs>
  <TitlesOfParts>
    <vt:vector size="1" baseType="lpstr">
      <vt:lpstr/>
    </vt:vector>
  </TitlesOfParts>
  <Company>Idaho State Historical Society</Company>
  <LinksUpToDate>false</LinksUpToDate>
  <CharactersWithSpaces>3032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Bringhurst</dc:creator>
  <cp:keywords/>
  <dc:description/>
  <cp:lastModifiedBy>Johanna Bringhurst</cp:lastModifiedBy>
  <cp:revision>2</cp:revision>
  <dcterms:created xsi:type="dcterms:W3CDTF">2018-09-10T16:15:00Z</dcterms:created>
  <dcterms:modified xsi:type="dcterms:W3CDTF">2018-09-10T16:15:00Z</dcterms:modified>
</cp:coreProperties>
</file>